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1110BA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20.05.2020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110BA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514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32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6150">
              <w:rPr>
                <w:sz w:val="24"/>
                <w:szCs w:val="24"/>
              </w:rPr>
              <w:t>б организации участия добровольных пожарных</w:t>
            </w:r>
            <w:r>
              <w:rPr>
                <w:sz w:val="24"/>
                <w:szCs w:val="24"/>
              </w:rPr>
              <w:t xml:space="preserve"> </w:t>
            </w:r>
            <w:r w:rsidR="00326150">
              <w:rPr>
                <w:sz w:val="24"/>
                <w:szCs w:val="24"/>
              </w:rPr>
              <w:t xml:space="preserve">в предупреждении и тушении пожаров и проведении аварийно-спасательных работ в составе подразделений добровольной пожарной охраны </w:t>
            </w:r>
            <w:r w:rsidR="00E67308">
              <w:rPr>
                <w:sz w:val="24"/>
                <w:szCs w:val="24"/>
              </w:rPr>
              <w:t>на территории Первомайского района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D2658E" w:rsidRDefault="00D0163C" w:rsidP="00D2658E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D2658E">
        <w:rPr>
          <w:sz w:val="26"/>
          <w:szCs w:val="26"/>
        </w:rPr>
        <w:t xml:space="preserve">В </w:t>
      </w:r>
      <w:r w:rsidR="00326150">
        <w:rPr>
          <w:sz w:val="26"/>
          <w:szCs w:val="26"/>
        </w:rPr>
        <w:t>соответствии со статьёй 19 Федерального закона от 21 декабря 1994 года № 69-ФЗ «О пожарной безопасности», Федеральным законом от 06 мая 2011 года № 100-ФЗ «О добровольной пожарной охране», законом Алтайского края от 10 декабря 2011 года № 126-ЗС «О добровольной пожарной охране», Федеральным законом от 06 октября 1993 года № 131-ФЗ «Об общих принципах организации местного самоуправления в Российской Федерации</w:t>
      </w:r>
      <w:r w:rsidR="007A2343">
        <w:rPr>
          <w:sz w:val="26"/>
          <w:szCs w:val="26"/>
        </w:rPr>
        <w:t xml:space="preserve"> и в</w:t>
      </w:r>
      <w:proofErr w:type="gramEnd"/>
      <w:r w:rsidR="007A2343">
        <w:rPr>
          <w:sz w:val="26"/>
          <w:szCs w:val="26"/>
        </w:rPr>
        <w:t xml:space="preserve"> целях обеспечения необходимых условий для успешной деятельности добровольной пожарной охраны на территории Первомайского района, </w:t>
      </w:r>
      <w:r w:rsidR="0034598F">
        <w:rPr>
          <w:sz w:val="26"/>
          <w:szCs w:val="26"/>
        </w:rPr>
        <w:t xml:space="preserve"> </w:t>
      </w:r>
      <w:proofErr w:type="spellStart"/>
      <w:proofErr w:type="gramStart"/>
      <w:r w:rsidRPr="00D2658E">
        <w:rPr>
          <w:sz w:val="26"/>
          <w:szCs w:val="26"/>
        </w:rPr>
        <w:t>п</w:t>
      </w:r>
      <w:proofErr w:type="spellEnd"/>
      <w:proofErr w:type="gramEnd"/>
      <w:r w:rsidRPr="00D2658E">
        <w:rPr>
          <w:sz w:val="26"/>
          <w:szCs w:val="26"/>
        </w:rPr>
        <w:t xml:space="preserve"> о с т а </w:t>
      </w:r>
      <w:proofErr w:type="spellStart"/>
      <w:r w:rsidRPr="00D2658E">
        <w:rPr>
          <w:sz w:val="26"/>
          <w:szCs w:val="26"/>
        </w:rPr>
        <w:t>н</w:t>
      </w:r>
      <w:proofErr w:type="spellEnd"/>
      <w:r w:rsidRPr="00D2658E">
        <w:rPr>
          <w:sz w:val="26"/>
          <w:szCs w:val="26"/>
        </w:rPr>
        <w:t xml:space="preserve"> о в л я ю:</w:t>
      </w:r>
    </w:p>
    <w:p w:rsidR="00D0163C" w:rsidRPr="00D2658E" w:rsidRDefault="003B40D8" w:rsidP="00D2658E">
      <w:pPr>
        <w:ind w:firstLine="709"/>
        <w:jc w:val="both"/>
        <w:rPr>
          <w:sz w:val="26"/>
          <w:szCs w:val="26"/>
        </w:rPr>
      </w:pPr>
      <w:r w:rsidRPr="00D2658E">
        <w:rPr>
          <w:sz w:val="26"/>
          <w:szCs w:val="26"/>
        </w:rPr>
        <w:t>1.</w:t>
      </w:r>
      <w:r w:rsidR="00854CBC">
        <w:rPr>
          <w:sz w:val="26"/>
          <w:szCs w:val="26"/>
        </w:rPr>
        <w:t xml:space="preserve"> </w:t>
      </w:r>
      <w:r w:rsidR="007A2343">
        <w:rPr>
          <w:sz w:val="26"/>
          <w:szCs w:val="26"/>
        </w:rPr>
        <w:t>Организовать участие добровольных пожарных в предупреждении и тушении пожаров и проведении ав</w:t>
      </w:r>
      <w:r w:rsidR="008F2FB2">
        <w:rPr>
          <w:sz w:val="26"/>
          <w:szCs w:val="26"/>
        </w:rPr>
        <w:t>а</w:t>
      </w:r>
      <w:r w:rsidR="007A2343">
        <w:rPr>
          <w:sz w:val="26"/>
          <w:szCs w:val="26"/>
        </w:rPr>
        <w:t>рийно-спасательных работ в составе подразделений добровольной пожарной охраны в соответствии с Порядком участия</w:t>
      </w:r>
      <w:r w:rsidR="00817249">
        <w:rPr>
          <w:sz w:val="26"/>
          <w:szCs w:val="26"/>
        </w:rPr>
        <w:t xml:space="preserve"> добровольных</w:t>
      </w:r>
      <w:r w:rsidR="007A2343">
        <w:rPr>
          <w:sz w:val="26"/>
          <w:szCs w:val="26"/>
        </w:rPr>
        <w:t xml:space="preserve"> пожарных в предупреждении и</w:t>
      </w:r>
      <w:r w:rsidR="00817249">
        <w:rPr>
          <w:sz w:val="26"/>
          <w:szCs w:val="26"/>
        </w:rPr>
        <w:t xml:space="preserve"> (или)</w:t>
      </w:r>
      <w:r w:rsidR="007A2343">
        <w:rPr>
          <w:sz w:val="26"/>
          <w:szCs w:val="26"/>
        </w:rPr>
        <w:t xml:space="preserve"> тушении пожаров и проведении аварийно-спасательных работ в составе подразделений добровольной пожарной охраны (прилагается).</w:t>
      </w:r>
    </w:p>
    <w:p w:rsidR="00D0163C" w:rsidRPr="00D2658E" w:rsidRDefault="00BA1CF1" w:rsidP="00D265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0163C" w:rsidRPr="00D2658E">
        <w:rPr>
          <w:sz w:val="26"/>
          <w:szCs w:val="26"/>
        </w:rPr>
        <w:t xml:space="preserve">. Настоящее постановление разместить на официальном интернет-сайте администрации района </w:t>
      </w:r>
      <w:hyperlink r:id="rId8" w:history="1">
        <w:r w:rsidR="00D0163C" w:rsidRPr="00D2658E">
          <w:rPr>
            <w:rStyle w:val="a5"/>
            <w:sz w:val="26"/>
            <w:szCs w:val="26"/>
          </w:rPr>
          <w:t>www.perv-</w:t>
        </w:r>
        <w:r w:rsidR="00D0163C" w:rsidRPr="00D2658E">
          <w:rPr>
            <w:rStyle w:val="a5"/>
            <w:sz w:val="26"/>
            <w:szCs w:val="26"/>
            <w:lang w:val="en-US"/>
          </w:rPr>
          <w:t>alt</w:t>
        </w:r>
        <w:r w:rsidR="00D0163C" w:rsidRPr="00D2658E">
          <w:rPr>
            <w:rStyle w:val="a5"/>
            <w:sz w:val="26"/>
            <w:szCs w:val="26"/>
          </w:rPr>
          <w:t>.</w:t>
        </w:r>
        <w:r w:rsidR="00D0163C" w:rsidRPr="00D2658E">
          <w:rPr>
            <w:rStyle w:val="a5"/>
            <w:sz w:val="26"/>
            <w:szCs w:val="26"/>
            <w:lang w:val="en-US"/>
          </w:rPr>
          <w:t>ru</w:t>
        </w:r>
      </w:hyperlink>
    </w:p>
    <w:p w:rsidR="00D0163C" w:rsidRPr="00D2658E" w:rsidRDefault="00BA1CF1" w:rsidP="00D265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0163C" w:rsidRPr="00D2658E">
        <w:rPr>
          <w:sz w:val="26"/>
          <w:szCs w:val="26"/>
        </w:rPr>
        <w:t xml:space="preserve">. </w:t>
      </w:r>
      <w:r w:rsidR="0034598F">
        <w:rPr>
          <w:sz w:val="26"/>
          <w:szCs w:val="26"/>
        </w:rPr>
        <w:t xml:space="preserve"> </w:t>
      </w:r>
      <w:proofErr w:type="gramStart"/>
      <w:r w:rsidR="00D0163C" w:rsidRPr="00D2658E">
        <w:rPr>
          <w:sz w:val="26"/>
          <w:szCs w:val="26"/>
        </w:rPr>
        <w:t>Контроль за</w:t>
      </w:r>
      <w:proofErr w:type="gramEnd"/>
      <w:r w:rsidR="00D0163C" w:rsidRPr="00D2658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2658E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34598F" w:rsidRDefault="0034598F" w:rsidP="0034598F"/>
    <w:p w:rsidR="0034598F" w:rsidRPr="0034598F" w:rsidRDefault="0034598F" w:rsidP="0034598F"/>
    <w:p w:rsidR="00D2658E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CB4563" w:rsidRPr="00A60256" w:rsidRDefault="0034598F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Глава</w:t>
      </w:r>
      <w:r w:rsidR="00CB4563" w:rsidRPr="00A60256">
        <w:rPr>
          <w:b w:val="0"/>
          <w:bCs/>
          <w:szCs w:val="28"/>
        </w:rPr>
        <w:t xml:space="preserve"> района                    </w:t>
      </w:r>
      <w:r w:rsidR="00CB4563" w:rsidRPr="00A60256">
        <w:rPr>
          <w:b w:val="0"/>
          <w:bCs/>
          <w:szCs w:val="28"/>
        </w:rPr>
        <w:tab/>
        <w:t>А.</w:t>
      </w:r>
      <w:r w:rsidR="0040498B">
        <w:rPr>
          <w:b w:val="0"/>
          <w:bCs/>
          <w:szCs w:val="28"/>
        </w:rPr>
        <w:t>Е</w:t>
      </w:r>
      <w:r w:rsidR="00CB4563" w:rsidRPr="00A60256">
        <w:rPr>
          <w:b w:val="0"/>
          <w:bCs/>
          <w:szCs w:val="28"/>
        </w:rPr>
        <w:t>.</w:t>
      </w:r>
      <w:r w:rsidR="0040498B">
        <w:rPr>
          <w:b w:val="0"/>
          <w:bCs/>
          <w:szCs w:val="28"/>
        </w:rPr>
        <w:t>Иванов</w:t>
      </w:r>
    </w:p>
    <w:p w:rsidR="00D0163C" w:rsidRDefault="00591FB1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1.4pt;margin-top:772.3pt;width:216.35pt;height:35.05pt;z-index:251661824;mso-position-horizontal-relative:page;mso-position-vertical-relative:page" strokecolor="white">
            <v:textbox style="mso-next-textbox:#_x0000_s1043">
              <w:txbxContent>
                <w:p w:rsidR="0034598F" w:rsidRDefault="0034598F" w:rsidP="00822F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Казанцев В.М.</w:t>
                  </w:r>
                </w:p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="0034598F">
                    <w:rPr>
                      <w:sz w:val="24"/>
                      <w:szCs w:val="24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="0034598F">
                    <w:rPr>
                      <w:sz w:val="24"/>
                      <w:szCs w:val="24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E4547" w:rsidRDefault="00DE4547" w:rsidP="00CB4563">
      <w:pPr>
        <w:rPr>
          <w:sz w:val="28"/>
          <w:szCs w:val="28"/>
        </w:rPr>
      </w:pPr>
    </w:p>
    <w:p w:rsidR="0034598F" w:rsidRDefault="0034598F" w:rsidP="00CB4563">
      <w:pPr>
        <w:rPr>
          <w:sz w:val="28"/>
          <w:szCs w:val="28"/>
        </w:rPr>
      </w:pPr>
    </w:p>
    <w:p w:rsidR="0034598F" w:rsidRDefault="0034598F" w:rsidP="00CB4563">
      <w:pPr>
        <w:rPr>
          <w:sz w:val="28"/>
          <w:szCs w:val="28"/>
        </w:rPr>
      </w:pPr>
    </w:p>
    <w:p w:rsidR="0034598F" w:rsidRDefault="0034598F" w:rsidP="00CB4563">
      <w:pPr>
        <w:rPr>
          <w:sz w:val="28"/>
          <w:szCs w:val="28"/>
        </w:rPr>
      </w:pPr>
    </w:p>
    <w:p w:rsidR="0034598F" w:rsidRDefault="0034598F" w:rsidP="00554CF6">
      <w:pPr>
        <w:jc w:val="right"/>
        <w:rPr>
          <w:sz w:val="28"/>
          <w:szCs w:val="28"/>
        </w:rPr>
      </w:pPr>
    </w:p>
    <w:p w:rsidR="00554CF6" w:rsidRDefault="00554CF6" w:rsidP="00554CF6">
      <w:pPr>
        <w:tabs>
          <w:tab w:val="center" w:pos="4677"/>
          <w:tab w:val="right" w:pos="9354"/>
        </w:tabs>
        <w:jc w:val="right"/>
        <w:rPr>
          <w:sz w:val="27"/>
          <w:szCs w:val="27"/>
        </w:rPr>
      </w:pPr>
      <w:r>
        <w:rPr>
          <w:sz w:val="27"/>
          <w:szCs w:val="27"/>
        </w:rPr>
        <w:t>Пр</w:t>
      </w:r>
      <w:r w:rsidRPr="00AE1C61">
        <w:rPr>
          <w:sz w:val="27"/>
          <w:szCs w:val="27"/>
        </w:rPr>
        <w:t>иложение</w:t>
      </w:r>
    </w:p>
    <w:p w:rsidR="00554CF6" w:rsidRDefault="00554CF6" w:rsidP="00554CF6">
      <w:pPr>
        <w:tabs>
          <w:tab w:val="center" w:pos="4677"/>
          <w:tab w:val="right" w:pos="9354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к постановлению администрации</w:t>
      </w:r>
    </w:p>
    <w:p w:rsidR="00554CF6" w:rsidRDefault="00554CF6" w:rsidP="00554CF6">
      <w:pPr>
        <w:tabs>
          <w:tab w:val="center" w:pos="4677"/>
          <w:tab w:val="right" w:pos="9354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Первомайского района</w:t>
      </w:r>
    </w:p>
    <w:p w:rsidR="00554CF6" w:rsidRDefault="00554CF6" w:rsidP="00554CF6">
      <w:pPr>
        <w:tabs>
          <w:tab w:val="center" w:pos="4677"/>
          <w:tab w:val="right" w:pos="9354"/>
        </w:tabs>
        <w:rPr>
          <w:bCs/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        от </w:t>
      </w:r>
      <w:r w:rsidRPr="002F22D0">
        <w:rPr>
          <w:sz w:val="27"/>
          <w:szCs w:val="27"/>
          <w:u w:val="single"/>
        </w:rPr>
        <w:t>« 20 » 05  2020</w:t>
      </w:r>
      <w:r>
        <w:rPr>
          <w:sz w:val="27"/>
          <w:szCs w:val="27"/>
        </w:rPr>
        <w:t xml:space="preserve"> № </w:t>
      </w:r>
      <w:bookmarkStart w:id="0" w:name="_GoBack"/>
      <w:bookmarkEnd w:id="0"/>
      <w:r w:rsidRPr="002F22D0">
        <w:rPr>
          <w:sz w:val="27"/>
          <w:szCs w:val="27"/>
          <w:u w:val="single"/>
        </w:rPr>
        <w:t>514</w:t>
      </w:r>
    </w:p>
    <w:p w:rsidR="00554CF6" w:rsidRDefault="00554CF6" w:rsidP="00554CF6">
      <w:pPr>
        <w:rPr>
          <w:bCs/>
          <w:sz w:val="28"/>
          <w:szCs w:val="28"/>
        </w:rPr>
      </w:pPr>
    </w:p>
    <w:p w:rsidR="00554CF6" w:rsidRDefault="00554CF6" w:rsidP="00554CF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участия добровольных пожарных в предупреждении и (или) тушении пожаров и проведении аварийно-спасательных работ в составе подразделений добровольной пожарной охраны</w:t>
      </w:r>
    </w:p>
    <w:p w:rsidR="00554CF6" w:rsidRDefault="00554CF6" w:rsidP="00554CF6">
      <w:pPr>
        <w:jc w:val="center"/>
        <w:rPr>
          <w:bCs/>
          <w:sz w:val="28"/>
          <w:szCs w:val="28"/>
        </w:rPr>
      </w:pPr>
    </w:p>
    <w:p w:rsidR="00554CF6" w:rsidRDefault="00554CF6" w:rsidP="00554CF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организации деятельности добровольной пожарной охраны в обеспечении пожарной безопасности населенных пунктов на территории муниципального образования Первомайский район, руководствоваться следующим порядком:</w:t>
      </w:r>
    </w:p>
    <w:p w:rsidR="00554CF6" w:rsidRDefault="00554CF6" w:rsidP="00554CF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привлечение добровольных пожарных к несению дежурства и к выполнению задач, возложенных на подразделения добровольной пожарной охраны, осуществляется на основе гражданско-правовых договоров, заключаемых добровольными пожарными с общественными объединениями пожарной охраны, членами (участниками) которых являются добровольные пожарные;</w:t>
      </w:r>
    </w:p>
    <w:p w:rsidR="00554CF6" w:rsidRDefault="00554CF6" w:rsidP="00554CF6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подразделения добровольной пожарной охраны осуществляют несение дежурства в составе местного пожарно-спасательного гарнизона и привлекаются  к участию в тушении пожаров и проведении аварийно-спасательных работ в соответствии с Планом привлечения сил и средств территориального пожарно-спасательного гарнизона Алтайского края для тушения пожаров и проведения аварийно-спасательных работ и Расписанием выезда подразделений местного пожарно-спасательного гарнизона для тушения пожаров и проведения аварийно-спасательных работ;</w:t>
      </w:r>
      <w:proofErr w:type="gramEnd"/>
    </w:p>
    <w:p w:rsidR="00554CF6" w:rsidRDefault="00554CF6" w:rsidP="00554CF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дежурство добровольных пожарных осуществляется по месту жительства, работы (учебы), а также в подразделениях пожарной охраны не менее семи раз в месяц. </w:t>
      </w:r>
      <w:proofErr w:type="gramStart"/>
      <w:r>
        <w:rPr>
          <w:bCs/>
          <w:sz w:val="28"/>
          <w:szCs w:val="28"/>
        </w:rPr>
        <w:t>Для руководства дежурной сменой, координации действий добровольных пожарных при тушении пожара и проведении аварийно-спасательных работ в каждой смене определяется старший смены;</w:t>
      </w:r>
      <w:proofErr w:type="gramEnd"/>
    </w:p>
    <w:p w:rsidR="00554CF6" w:rsidRDefault="00554CF6" w:rsidP="00554CF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несение дежурства добровольными пожарными в подразделениях пожарной охраны осуществляется в соответствии с требованиями, установленными федеральным законодательством, уставом или положением о добровольной пожарной команде или добровольной пожарной дружине. Порядок организации дежурства добровольного пожарного осуществляется в соответствии с графиком дежурства, который составляется руководителем подразделения добровольной пожарной охраны, согласовывается с руководителем подразделения Государственной противопожарной службы и утверждается главой муниципального образования. В случае включения добровольного пожарного в указанный график дежурства в рабочее или учебное время график согласовывается с руководителем организации по месту работы или учебы добровольного пожарного. В рабочее время, </w:t>
      </w:r>
      <w:r>
        <w:rPr>
          <w:bCs/>
          <w:sz w:val="28"/>
          <w:szCs w:val="28"/>
        </w:rPr>
        <w:lastRenderedPageBreak/>
        <w:t xml:space="preserve">согласно </w:t>
      </w:r>
      <w:proofErr w:type="spellStart"/>
      <w:r>
        <w:rPr>
          <w:bCs/>
          <w:sz w:val="28"/>
          <w:szCs w:val="28"/>
        </w:rPr>
        <w:t>графикудежурства</w:t>
      </w:r>
      <w:proofErr w:type="spellEnd"/>
      <w:r>
        <w:rPr>
          <w:bCs/>
          <w:sz w:val="28"/>
          <w:szCs w:val="28"/>
        </w:rPr>
        <w:t xml:space="preserve">, добровольный пожарный находится по основному месту работы (учебы) в готовности к принятию сообщения и выезду на </w:t>
      </w:r>
      <w:proofErr w:type="spellStart"/>
      <w:r>
        <w:rPr>
          <w:bCs/>
          <w:sz w:val="28"/>
          <w:szCs w:val="28"/>
        </w:rPr>
        <w:t>пожар</w:t>
      </w:r>
      <w:proofErr w:type="gramStart"/>
      <w:r>
        <w:rPr>
          <w:bCs/>
          <w:sz w:val="28"/>
          <w:szCs w:val="28"/>
        </w:rPr>
        <w:t>.В</w:t>
      </w:r>
      <w:proofErr w:type="spellEnd"/>
      <w:proofErr w:type="gramEnd"/>
      <w:r>
        <w:rPr>
          <w:bCs/>
          <w:sz w:val="28"/>
          <w:szCs w:val="28"/>
        </w:rPr>
        <w:t xml:space="preserve"> нерабочее время он находится дома или ином месте, позволяющем своевременно приступить в составе дежурной смены к тушению пожара и проведению аварийно-спасательных работ. Для каждой дежурной смены добровольных пожарных разрабатывается схема оповещения, в том числе при общем сборе по повышенному номеру (рангу) пожара;</w:t>
      </w:r>
    </w:p>
    <w:p w:rsidR="00554CF6" w:rsidRDefault="00554CF6" w:rsidP="00554CF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диспетчер центрального пункта пожарной связи или единой дежурной диспетчерской службы, получив сообщение о пожаре в населенном пункте или организации, охраняемым подразделением добровольной пожарной охраны, высылает к месту вызова подразделения Государственной противопожарной службы и оповещает старшего дежурной смены добровольных пожарных. Выезд добровольных пожарных подразделений на тушение пожаров и проведение аварийно-спасательных работ осуществляется в безусловном порядке. При получении сведения о пожаре добровольный пожарный обязан в кратчайшее время следовать к месту пожара и, используя мобильные или первичные средства тушения пожара, приступить к спасению людей и имущества, локализации пожара до прибытия </w:t>
      </w:r>
      <w:proofErr w:type="spellStart"/>
      <w:r>
        <w:rPr>
          <w:bCs/>
          <w:sz w:val="28"/>
          <w:szCs w:val="28"/>
        </w:rPr>
        <w:t>подразделенийГосударственной</w:t>
      </w:r>
      <w:proofErr w:type="spellEnd"/>
      <w:r>
        <w:rPr>
          <w:bCs/>
          <w:sz w:val="28"/>
          <w:szCs w:val="28"/>
        </w:rPr>
        <w:t xml:space="preserve"> противопожарной службы;</w:t>
      </w:r>
    </w:p>
    <w:p w:rsidR="00554CF6" w:rsidRDefault="00554CF6" w:rsidP="00554CF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выезд подразделения добровольной пожарной охраны на тушение пожаров за пределы закрепленного за ними района выезда осуществляется в соответствии с Планом привлечения сил и средств территориального пожарно-спасательного гарнизона Алтайского края для тушения пожаров и проведения аварийно-спасательных работ и Расписанием выезда подразделений местного пожарно-спасательного гарнизона для тушения пожаров и проведения аварийно-спасательных работ;</w:t>
      </w:r>
    </w:p>
    <w:p w:rsidR="00554CF6" w:rsidRDefault="00554CF6" w:rsidP="00554CF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охраны, </w:t>
      </w:r>
      <w:proofErr w:type="gramStart"/>
      <w:r>
        <w:rPr>
          <w:bCs/>
          <w:sz w:val="28"/>
          <w:szCs w:val="28"/>
        </w:rPr>
        <w:t>первый</w:t>
      </w:r>
      <w:proofErr w:type="gramEnd"/>
      <w:r>
        <w:rPr>
          <w:bCs/>
          <w:sz w:val="28"/>
          <w:szCs w:val="28"/>
        </w:rPr>
        <w:t xml:space="preserve"> прибывший на пожар, до прибытия подразделения Государственной противопожарной службы, координирует действия добровольных пожарных по предотвращению возможности дальнейшего распространения огня, созданию условий для его ликвидации имеющимися силами и средствами. При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службы;</w:t>
      </w:r>
    </w:p>
    <w:p w:rsidR="00554CF6" w:rsidRDefault="00554CF6" w:rsidP="00554CF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состав добровольной пожарной охраны, участвовавший в тушении пожара и проведении аварийно-спасательных работ и действовавший в условиях крайней необходимости и (или) обоснованного риска, освобождается от возмещения причиненного ущерба в соответствии с законодательством Российской Федерации.</w:t>
      </w:r>
    </w:p>
    <w:p w:rsidR="0034598F" w:rsidRDefault="0034598F" w:rsidP="00CB4563">
      <w:pPr>
        <w:rPr>
          <w:sz w:val="28"/>
          <w:szCs w:val="28"/>
        </w:rPr>
      </w:pPr>
    </w:p>
    <w:p w:rsidR="0034598F" w:rsidRDefault="0034598F" w:rsidP="00CB4563">
      <w:pPr>
        <w:rPr>
          <w:sz w:val="28"/>
          <w:szCs w:val="28"/>
        </w:rPr>
      </w:pPr>
    </w:p>
    <w:p w:rsidR="0034598F" w:rsidRDefault="0034598F" w:rsidP="00CB4563">
      <w:pPr>
        <w:rPr>
          <w:sz w:val="28"/>
          <w:szCs w:val="28"/>
        </w:rPr>
      </w:pPr>
    </w:p>
    <w:p w:rsidR="0034598F" w:rsidRDefault="0034598F" w:rsidP="00CB4563">
      <w:pPr>
        <w:rPr>
          <w:sz w:val="28"/>
          <w:szCs w:val="28"/>
        </w:rPr>
      </w:pPr>
    </w:p>
    <w:p w:rsidR="0034598F" w:rsidRDefault="0034598F" w:rsidP="00CB4563">
      <w:pPr>
        <w:rPr>
          <w:sz w:val="28"/>
          <w:szCs w:val="28"/>
        </w:rPr>
      </w:pPr>
    </w:p>
    <w:p w:rsidR="0034598F" w:rsidRDefault="0034598F" w:rsidP="00CB4563">
      <w:pPr>
        <w:rPr>
          <w:sz w:val="28"/>
          <w:szCs w:val="28"/>
        </w:rPr>
      </w:pPr>
    </w:p>
    <w:p w:rsidR="0034598F" w:rsidRDefault="0034598F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591FB1" w:rsidP="00CB45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202" style="position:absolute;margin-left:248.4pt;margin-top:-37.75pt;width:219.65pt;height:81pt;z-index:251663872" stroked="f">
            <v:textbox style="mso-next-textbox:#_x0000_s1047">
              <w:txbxContent>
                <w:p w:rsidR="00280C01" w:rsidRPr="00585CF3" w:rsidRDefault="00280C01" w:rsidP="00280C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  <w:sectPr w:rsidR="00D2658E" w:rsidSect="00D0163C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336549" w:rsidRPr="00412493" w:rsidRDefault="00336549" w:rsidP="00817249">
      <w:pPr>
        <w:rPr>
          <w:sz w:val="28"/>
          <w:szCs w:val="28"/>
        </w:rPr>
      </w:pPr>
    </w:p>
    <w:sectPr w:rsidR="00336549" w:rsidRPr="00412493" w:rsidSect="00822F69">
      <w:headerReference w:type="default" r:id="rId11"/>
      <w:headerReference w:type="first" r:id="rId12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D9" w:rsidRDefault="00DD16D9">
      <w:r>
        <w:separator/>
      </w:r>
    </w:p>
  </w:endnote>
  <w:endnote w:type="continuationSeparator" w:id="1">
    <w:p w:rsidR="00DD16D9" w:rsidRDefault="00DD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D9" w:rsidRDefault="00DD16D9">
      <w:r>
        <w:separator/>
      </w:r>
    </w:p>
  </w:footnote>
  <w:footnote w:type="continuationSeparator" w:id="1">
    <w:p w:rsidR="00DD16D9" w:rsidRDefault="00DD1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591FB1">
        <w:pPr>
          <w:pStyle w:val="a7"/>
          <w:jc w:val="center"/>
        </w:pPr>
        <w:r>
          <w:fldChar w:fldCharType="begin"/>
        </w:r>
        <w:r w:rsidR="00A17022">
          <w:instrText xml:space="preserve"> PAGE   \* MERGEFORMAT </w:instrText>
        </w:r>
        <w:r>
          <w:fldChar w:fldCharType="separate"/>
        </w:r>
        <w:r w:rsidR="00554C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591FB1">
    <w:pPr>
      <w:pStyle w:val="a7"/>
      <w:jc w:val="center"/>
    </w:pPr>
    <w:r>
      <w:fldChar w:fldCharType="begin"/>
    </w:r>
    <w:r w:rsidR="00A17022">
      <w:instrText xml:space="preserve"> PAGE   \* MERGEFORMAT </w:instrText>
    </w:r>
    <w:r>
      <w:fldChar w:fldCharType="separate"/>
    </w:r>
    <w:r w:rsidR="00554CF6">
      <w:rPr>
        <w:noProof/>
      </w:rPr>
      <w:t>2</w:t>
    </w:r>
    <w:r>
      <w:rPr>
        <w:noProof/>
      </w:rPr>
      <w:fldChar w:fldCharType="end"/>
    </w:r>
  </w:p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280C01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6E0E"/>
    <w:rsid w:val="00027744"/>
    <w:rsid w:val="00045F0B"/>
    <w:rsid w:val="00047521"/>
    <w:rsid w:val="0006162D"/>
    <w:rsid w:val="0006582D"/>
    <w:rsid w:val="00071C54"/>
    <w:rsid w:val="0008363C"/>
    <w:rsid w:val="000A60DD"/>
    <w:rsid w:val="000C2DC0"/>
    <w:rsid w:val="000D6334"/>
    <w:rsid w:val="00104646"/>
    <w:rsid w:val="001110BA"/>
    <w:rsid w:val="00111175"/>
    <w:rsid w:val="0014130B"/>
    <w:rsid w:val="001448E5"/>
    <w:rsid w:val="001546F6"/>
    <w:rsid w:val="0015556E"/>
    <w:rsid w:val="00160680"/>
    <w:rsid w:val="0016444C"/>
    <w:rsid w:val="001713EE"/>
    <w:rsid w:val="00173DB1"/>
    <w:rsid w:val="001837E6"/>
    <w:rsid w:val="00185DF2"/>
    <w:rsid w:val="001A149A"/>
    <w:rsid w:val="001B7A5D"/>
    <w:rsid w:val="001D3704"/>
    <w:rsid w:val="001E243D"/>
    <w:rsid w:val="001F2C10"/>
    <w:rsid w:val="002003D9"/>
    <w:rsid w:val="0021486C"/>
    <w:rsid w:val="00250922"/>
    <w:rsid w:val="00265D0B"/>
    <w:rsid w:val="00266076"/>
    <w:rsid w:val="00266405"/>
    <w:rsid w:val="00266623"/>
    <w:rsid w:val="00280C01"/>
    <w:rsid w:val="0028561D"/>
    <w:rsid w:val="002A3643"/>
    <w:rsid w:val="002F5F68"/>
    <w:rsid w:val="0030422A"/>
    <w:rsid w:val="00305475"/>
    <w:rsid w:val="00305824"/>
    <w:rsid w:val="00325520"/>
    <w:rsid w:val="00326150"/>
    <w:rsid w:val="00336549"/>
    <w:rsid w:val="0034598F"/>
    <w:rsid w:val="00345B54"/>
    <w:rsid w:val="00347A08"/>
    <w:rsid w:val="00353149"/>
    <w:rsid w:val="00356AB8"/>
    <w:rsid w:val="00386F48"/>
    <w:rsid w:val="003B40D8"/>
    <w:rsid w:val="003D4661"/>
    <w:rsid w:val="003D7516"/>
    <w:rsid w:val="003E029D"/>
    <w:rsid w:val="003E1574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30427"/>
    <w:rsid w:val="00435328"/>
    <w:rsid w:val="0044206C"/>
    <w:rsid w:val="00451CAC"/>
    <w:rsid w:val="00461A7F"/>
    <w:rsid w:val="004637A3"/>
    <w:rsid w:val="00464AD6"/>
    <w:rsid w:val="004906C6"/>
    <w:rsid w:val="004C01BA"/>
    <w:rsid w:val="004C1D3B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3260F"/>
    <w:rsid w:val="00532F24"/>
    <w:rsid w:val="0053426A"/>
    <w:rsid w:val="00535BB6"/>
    <w:rsid w:val="0054704B"/>
    <w:rsid w:val="00554CF6"/>
    <w:rsid w:val="00561DF8"/>
    <w:rsid w:val="0056374A"/>
    <w:rsid w:val="00585CF3"/>
    <w:rsid w:val="0058635B"/>
    <w:rsid w:val="00591FB1"/>
    <w:rsid w:val="0059666F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66393"/>
    <w:rsid w:val="00673B4B"/>
    <w:rsid w:val="00675975"/>
    <w:rsid w:val="0068647A"/>
    <w:rsid w:val="006868C8"/>
    <w:rsid w:val="0069387E"/>
    <w:rsid w:val="006940E2"/>
    <w:rsid w:val="00695819"/>
    <w:rsid w:val="006B18A4"/>
    <w:rsid w:val="006D076E"/>
    <w:rsid w:val="006D527F"/>
    <w:rsid w:val="006D71FD"/>
    <w:rsid w:val="006E1F70"/>
    <w:rsid w:val="006E3E22"/>
    <w:rsid w:val="006F0525"/>
    <w:rsid w:val="007041D4"/>
    <w:rsid w:val="007179DA"/>
    <w:rsid w:val="00720BEC"/>
    <w:rsid w:val="007224D5"/>
    <w:rsid w:val="00724028"/>
    <w:rsid w:val="007261AA"/>
    <w:rsid w:val="0072763B"/>
    <w:rsid w:val="00754981"/>
    <w:rsid w:val="00757288"/>
    <w:rsid w:val="007613A0"/>
    <w:rsid w:val="00773222"/>
    <w:rsid w:val="00777EA8"/>
    <w:rsid w:val="007962AE"/>
    <w:rsid w:val="007A2343"/>
    <w:rsid w:val="007B343E"/>
    <w:rsid w:val="008053B1"/>
    <w:rsid w:val="008067A9"/>
    <w:rsid w:val="00810A54"/>
    <w:rsid w:val="00811DBD"/>
    <w:rsid w:val="00817249"/>
    <w:rsid w:val="00817F08"/>
    <w:rsid w:val="00822F69"/>
    <w:rsid w:val="00837079"/>
    <w:rsid w:val="00847A42"/>
    <w:rsid w:val="00854CBC"/>
    <w:rsid w:val="00857796"/>
    <w:rsid w:val="00866B72"/>
    <w:rsid w:val="00876452"/>
    <w:rsid w:val="00881B78"/>
    <w:rsid w:val="00891A6F"/>
    <w:rsid w:val="008A6201"/>
    <w:rsid w:val="008C1E5B"/>
    <w:rsid w:val="008C4904"/>
    <w:rsid w:val="008C4B23"/>
    <w:rsid w:val="008C5EF5"/>
    <w:rsid w:val="008D5395"/>
    <w:rsid w:val="008E6980"/>
    <w:rsid w:val="008F1F3D"/>
    <w:rsid w:val="008F2FB2"/>
    <w:rsid w:val="00902BB7"/>
    <w:rsid w:val="009634DB"/>
    <w:rsid w:val="00967BEA"/>
    <w:rsid w:val="00977173"/>
    <w:rsid w:val="00986EC3"/>
    <w:rsid w:val="00986F74"/>
    <w:rsid w:val="00997BD5"/>
    <w:rsid w:val="009B1500"/>
    <w:rsid w:val="009B204C"/>
    <w:rsid w:val="009C3A0C"/>
    <w:rsid w:val="009D0900"/>
    <w:rsid w:val="009E6CB2"/>
    <w:rsid w:val="009F0345"/>
    <w:rsid w:val="00A04972"/>
    <w:rsid w:val="00A104CB"/>
    <w:rsid w:val="00A10F91"/>
    <w:rsid w:val="00A17022"/>
    <w:rsid w:val="00A1708A"/>
    <w:rsid w:val="00A271DF"/>
    <w:rsid w:val="00A54DFF"/>
    <w:rsid w:val="00A56B61"/>
    <w:rsid w:val="00A82B2D"/>
    <w:rsid w:val="00A96339"/>
    <w:rsid w:val="00AD324F"/>
    <w:rsid w:val="00AD4F8B"/>
    <w:rsid w:val="00AE0B13"/>
    <w:rsid w:val="00AF2839"/>
    <w:rsid w:val="00AF2911"/>
    <w:rsid w:val="00B126DC"/>
    <w:rsid w:val="00B338B9"/>
    <w:rsid w:val="00B416EB"/>
    <w:rsid w:val="00B4337A"/>
    <w:rsid w:val="00B4371A"/>
    <w:rsid w:val="00B51652"/>
    <w:rsid w:val="00B82EFF"/>
    <w:rsid w:val="00B91766"/>
    <w:rsid w:val="00B94E24"/>
    <w:rsid w:val="00BA1CF1"/>
    <w:rsid w:val="00BB54A8"/>
    <w:rsid w:val="00BC29BB"/>
    <w:rsid w:val="00BC383A"/>
    <w:rsid w:val="00BD594D"/>
    <w:rsid w:val="00BE19F0"/>
    <w:rsid w:val="00BF54CB"/>
    <w:rsid w:val="00BF6438"/>
    <w:rsid w:val="00C22893"/>
    <w:rsid w:val="00C30698"/>
    <w:rsid w:val="00C40766"/>
    <w:rsid w:val="00C43DF6"/>
    <w:rsid w:val="00C65963"/>
    <w:rsid w:val="00C85CA5"/>
    <w:rsid w:val="00C936E7"/>
    <w:rsid w:val="00CA0F9C"/>
    <w:rsid w:val="00CB1CD4"/>
    <w:rsid w:val="00CB4563"/>
    <w:rsid w:val="00CB48FE"/>
    <w:rsid w:val="00CC51D6"/>
    <w:rsid w:val="00CD3C1F"/>
    <w:rsid w:val="00CD5D1A"/>
    <w:rsid w:val="00CE1E53"/>
    <w:rsid w:val="00CF21E9"/>
    <w:rsid w:val="00D0163C"/>
    <w:rsid w:val="00D05143"/>
    <w:rsid w:val="00D10A4B"/>
    <w:rsid w:val="00D20CF3"/>
    <w:rsid w:val="00D2277E"/>
    <w:rsid w:val="00D2658E"/>
    <w:rsid w:val="00D349B3"/>
    <w:rsid w:val="00D355FC"/>
    <w:rsid w:val="00D41149"/>
    <w:rsid w:val="00D41DD4"/>
    <w:rsid w:val="00D42C7E"/>
    <w:rsid w:val="00D42EEE"/>
    <w:rsid w:val="00D471F7"/>
    <w:rsid w:val="00D5288F"/>
    <w:rsid w:val="00D560E1"/>
    <w:rsid w:val="00D64F84"/>
    <w:rsid w:val="00D653BD"/>
    <w:rsid w:val="00D71A9B"/>
    <w:rsid w:val="00D75457"/>
    <w:rsid w:val="00D77613"/>
    <w:rsid w:val="00D8661E"/>
    <w:rsid w:val="00DA6523"/>
    <w:rsid w:val="00DB3B8C"/>
    <w:rsid w:val="00DC705E"/>
    <w:rsid w:val="00DD16D9"/>
    <w:rsid w:val="00DE4547"/>
    <w:rsid w:val="00DF1BDF"/>
    <w:rsid w:val="00DF40FE"/>
    <w:rsid w:val="00E25C25"/>
    <w:rsid w:val="00E26B6F"/>
    <w:rsid w:val="00E316CD"/>
    <w:rsid w:val="00E323C1"/>
    <w:rsid w:val="00E352AA"/>
    <w:rsid w:val="00E37786"/>
    <w:rsid w:val="00E51EEE"/>
    <w:rsid w:val="00E540A1"/>
    <w:rsid w:val="00E5735E"/>
    <w:rsid w:val="00E57F17"/>
    <w:rsid w:val="00E612A5"/>
    <w:rsid w:val="00E615E9"/>
    <w:rsid w:val="00E635A1"/>
    <w:rsid w:val="00E67308"/>
    <w:rsid w:val="00E73951"/>
    <w:rsid w:val="00E74022"/>
    <w:rsid w:val="00E759D8"/>
    <w:rsid w:val="00E81D1C"/>
    <w:rsid w:val="00E8367B"/>
    <w:rsid w:val="00E934F3"/>
    <w:rsid w:val="00E9395C"/>
    <w:rsid w:val="00E96FEB"/>
    <w:rsid w:val="00E97BF5"/>
    <w:rsid w:val="00EA09D0"/>
    <w:rsid w:val="00EC58CA"/>
    <w:rsid w:val="00ED1926"/>
    <w:rsid w:val="00ED2EF3"/>
    <w:rsid w:val="00EF21F1"/>
    <w:rsid w:val="00EF7B69"/>
    <w:rsid w:val="00F03FFA"/>
    <w:rsid w:val="00F370B6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B0878"/>
    <w:rsid w:val="00FB1049"/>
    <w:rsid w:val="00FC2D9D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1091-725C-4B8F-84E3-A5675AFF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</TotalTime>
  <Pages>4</Pages>
  <Words>767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Informat</cp:lastModifiedBy>
  <cp:revision>2</cp:revision>
  <cp:lastPrinted>2007-02-03T04:55:00Z</cp:lastPrinted>
  <dcterms:created xsi:type="dcterms:W3CDTF">2020-05-28T07:40:00Z</dcterms:created>
  <dcterms:modified xsi:type="dcterms:W3CDTF">2020-05-28T07:40:00Z</dcterms:modified>
</cp:coreProperties>
</file>